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 w:line="360" w:lineRule="atLeas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ascii="微软雅黑" w:hAnsi="微软雅黑" w:eastAsia="微软雅黑" w:cs="Times New Roman"/>
          <w:color w:val="333333"/>
          <w:kern w:val="0"/>
          <w:sz w:val="24"/>
          <w:szCs w:val="24"/>
          <w:shd w:val="clear" w:color="auto" w:fill="FFFFFF"/>
        </w:rPr>
        <w:t> 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附件一：</w:t>
      </w:r>
    </w:p>
    <w:p>
      <w:pPr>
        <w:widowControl/>
        <w:shd w:val="clear" w:color="auto" w:fill="FFFFFF"/>
        <w:spacing w:after="50" w:line="360" w:lineRule="atLeast"/>
        <w:jc w:val="center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政府采购代理业务承诺书</w:t>
      </w:r>
    </w:p>
    <w:p>
      <w:pPr>
        <w:widowControl/>
        <w:shd w:val="clear" w:color="auto" w:fill="FFFFFF"/>
        <w:spacing w:after="50" w:line="360" w:lineRule="atLeast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广西艺术学院：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为维护国家利益、社会公共利益，维护政府采购公开、公平、公正、透明的市场秩序，规范政府采购代理行为，预防和制止政府采购活动中的商业贿赂行为，我公司郑重承诺：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一、坚持廉洁自律、抵制商业贿赂。认真贯彻落实中央、省、市、县关于治理商业贿赂工作的有关精神，提高对治理商业贿赂重大意义的认识，加强政治思想教育和法制教育，筑牢自觉抵制商业贿赂的思想道德防线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二、坚持“公平、公正在、公开”的原则，不滥用职权，强行指定专家评委和供应商，干预正常采购活动；不与采购人、供应商发生不正当的经济往来，获取不正当利益。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三、严格遵守政府采购回避制度的有关规定和项目评审工作纪律，采购活动期间不在非办公场所与供应商私自单独接触等；不利用工作之便，向外界透露应当保密的政府采购信息。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四、增强法律意识，自觉维护政府采购正常秩序，不从事资质范围以外的代理业务，不采取不正当手段获取政府采购代理项目，不在规定的收费标准以外收取代理费，对采购人依法委托的代理项目不以任何理由拒绝（如有发生，愿接受从贵处代理机构备选库中清除、没收履约保证需要金的处理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五、规范政府采购程序，严格按政府采购办审批的采购方式组织采购，不在财政部门指定媒体以外发布采购信息；不擅自改变审批的采购方式；不以不合理条件对供应商实行差别待遇或歧视性待遇；不得设置带倾向性资质门槛、技术性条款，排斥和限制其他潜在投标人；不制订带倾向性的评标办法；在组织政府采购项目评审时，不误导或直接授意评审人员做出有违公正的评审意见；不得与供应商或采购单位恶意串通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六、加强内部制度建设，规范工作人员行为准则，不接受可能影响采购公正的单位和个人的宴请、娱乐消费、旅游活动及馈赠礼品、礼物、购物券、回扣、佣金、现金、有价证券等；不向投标单位及其工作人员索要好处费、赞助费和宣传费；不在投标单位支付旅游费用、报销等各种消费凭证上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七、树立良好的工作作风、提高工作效率，提高服务质量，如因本公司原因导致采购活动违规，如招标文件制作粗糙甚至违法，出现质疑投诉且查证属实及上述条款其他禁止事项等，一年内累计超过两次违规的，愿接受从贵办采购代理名录库中清除及监管部门的进一步调查处理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八、自觉接受政府采购监管部门、审计和纪检监察等部门的监督和检查，自觉接受社会各界的监督。</w:t>
      </w:r>
    </w:p>
    <w:p>
      <w:pPr>
        <w:widowControl/>
        <w:shd w:val="clear" w:color="auto" w:fill="FFFFFF"/>
        <w:spacing w:after="50" w:line="280" w:lineRule="atLeast"/>
        <w:ind w:firstLine="482"/>
        <w:jc w:val="left"/>
        <w:rPr>
          <w:rFonts w:ascii="微软雅黑" w:hAnsi="微软雅黑" w:eastAsia="微软雅黑" w:cs="Times New Roman"/>
          <w:color w:val="333333"/>
          <w:sz w:val="24"/>
          <w:szCs w:val="24"/>
        </w:rPr>
      </w:pPr>
    </w:p>
    <w:p>
      <w:pPr>
        <w:widowControl/>
        <w:shd w:val="clear" w:color="auto" w:fill="FFFFFF"/>
        <w:spacing w:after="50" w:line="360" w:lineRule="atLeast"/>
        <w:ind w:firstLine="480"/>
        <w:jc w:val="righ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承诺单位（盖章）</w:t>
      </w:r>
      <w:r>
        <w:rPr>
          <w:rFonts w:ascii="宋体" w:cs="Times New Roman"/>
          <w:color w:val="333333"/>
          <w:kern w:val="0"/>
          <w:sz w:val="24"/>
          <w:szCs w:val="24"/>
          <w:shd w:val="clear" w:color="auto" w:fill="FFFFFF"/>
        </w:rPr>
        <w:t>            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法人代表（签名）</w:t>
      </w:r>
    </w:p>
    <w:p>
      <w:pPr>
        <w:widowControl/>
        <w:shd w:val="clear" w:color="auto" w:fill="FFFFFF"/>
        <w:spacing w:after="50" w:line="360" w:lineRule="atLeast"/>
        <w:ind w:firstLine="480"/>
        <w:jc w:val="right"/>
        <w:rPr>
          <w:rFonts w:ascii="微软雅黑" w:hAnsi="微软雅黑" w:eastAsia="微软雅黑" w:cs="Times New Roman"/>
          <w:color w:val="333333"/>
          <w:sz w:val="24"/>
          <w:szCs w:val="24"/>
        </w:rPr>
      </w:pPr>
      <w:r>
        <w:rPr>
          <w:rFonts w:ascii="宋体" w:cs="Times New Roman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</w:t>
      </w:r>
      <w:r>
        <w:rPr>
          <w:rFonts w:ascii="宋体" w:hAnsi="宋体" w:cs="宋体"/>
          <w:color w:val="333333"/>
          <w:kern w:val="0"/>
          <w:sz w:val="24"/>
          <w:szCs w:val="24"/>
          <w:shd w:val="clear" w:color="auto" w:fill="FFFFFF"/>
        </w:rPr>
        <w:t xml:space="preserve">       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cs="Times New Roman"/>
          <w:color w:val="333333"/>
          <w:kern w:val="0"/>
          <w:sz w:val="24"/>
          <w:szCs w:val="24"/>
          <w:shd w:val="clear" w:color="auto" w:fill="FFFFFF"/>
        </w:rPr>
        <w:t>    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月</w:t>
      </w:r>
      <w:r>
        <w:rPr>
          <w:rFonts w:ascii="宋体" w:cs="Times New Roman"/>
          <w:color w:val="333333"/>
          <w:kern w:val="0"/>
          <w:sz w:val="24"/>
          <w:szCs w:val="24"/>
          <w:shd w:val="clear" w:color="auto" w:fill="FFFFFF"/>
        </w:rPr>
        <w:t>    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4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2018-06-14T00:51:46Z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