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color w:val="000000"/>
          <w:kern w:val="2"/>
          <w:sz w:val="28"/>
          <w:szCs w:val="28"/>
        </w:rPr>
        <w:t>3</w:t>
      </w:r>
    </w:p>
    <w:p>
      <w:pPr>
        <w:spacing w:line="360" w:lineRule="auto"/>
        <w:jc w:val="center"/>
        <w:rPr>
          <w:rFonts w:ascii="宋体" w:cs="楷体"/>
          <w:b/>
          <w:color w:val="000000"/>
          <w:sz w:val="28"/>
          <w:szCs w:val="28"/>
        </w:rPr>
      </w:pPr>
      <w:r>
        <w:rPr>
          <w:rFonts w:hint="eastAsia" w:ascii="宋体" w:hAnsi="宋体" w:cs="楷体"/>
          <w:b/>
          <w:color w:val="000000"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1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、项目名称：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</w:rPr>
        <w:t>广西艺术学院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  <w:lang w:eastAsia="zh-CN"/>
        </w:rPr>
        <w:t>南湖校区大门、相思湖校区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  <w:lang w:val="en-US" w:eastAsia="zh-CN"/>
        </w:rPr>
        <w:t>1、2号大门建设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</w:rPr>
        <w:t>工程控制价编制服务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、工程地点：</w:t>
      </w:r>
      <w:r>
        <w:rPr>
          <w:rFonts w:hint="eastAsia" w:ascii="宋体" w:hAnsi="宋体" w:eastAsia="宋体" w:cs="楷体"/>
          <w:bCs/>
          <w:iCs/>
          <w:color w:val="000000"/>
          <w:sz w:val="25"/>
          <w:szCs w:val="25"/>
          <w:u w:val="single"/>
        </w:rPr>
        <w:t>南宁市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</w:pP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3、造价服务优惠率：</w:t>
      </w: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  <w:u w:val="single"/>
        </w:rPr>
        <w:t>%</w:t>
      </w:r>
    </w:p>
    <w:p>
      <w:pPr>
        <w:rPr>
          <w:rFonts w:ascii="宋体" w:cs="楷体"/>
          <w:bCs/>
          <w:iCs/>
          <w:color w:val="000000"/>
          <w:sz w:val="25"/>
          <w:szCs w:val="25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color w:val="000000"/>
          <w:sz w:val="25"/>
          <w:szCs w:val="25"/>
        </w:rPr>
        <w:t>工程项目设计内容</w:t>
      </w:r>
      <w:r>
        <w:rPr>
          <w:rStyle w:val="3"/>
          <w:rFonts w:ascii="宋体" w:hAnsi="宋体" w:cs="楷体"/>
          <w:b w:val="0"/>
          <w:bCs w:val="0"/>
          <w:color w:val="000000"/>
          <w:sz w:val="25"/>
          <w:szCs w:val="25"/>
        </w:rPr>
        <w:t>:</w:t>
      </w:r>
      <w:r>
        <w:rPr>
          <w:rFonts w:hint="eastAsia" w:ascii="宋体" w:hAnsi="宋体" w:cs="楷体"/>
          <w:bCs/>
          <w:iCs/>
          <w:color w:val="000000"/>
          <w:sz w:val="25"/>
          <w:szCs w:val="25"/>
        </w:rPr>
        <w:t>包括但不限于以下内容：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ascii="宋体" w:hAnsi="宋体" w:cs="楷体"/>
          <w:bCs/>
          <w:iCs/>
          <w:color w:val="000000"/>
          <w:sz w:val="25"/>
          <w:szCs w:val="25"/>
          <w:u w:val="single"/>
        </w:rPr>
        <w:t>1</w:t>
      </w: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、建设工程造价咨询业务范围：施工图所包含的内容、零星改造工程等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2、计价方式：工程量清单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3、咨询人出具的成果文件应包括以下内容：（以博奥最新版本计价软件）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①工程量清单（具体表格按招标文件要求）；②招标控制价；③招标控制价光盘（含工程量计算式及工程量计算文件）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4、成果文件完成时间：咨询人在街道委托人提供的完整资料后必须在约定时间5-10个日历天内分别完成各项目咨询工作的初稿并送至甲方指定位置（咨询开始时间以委托人书面通知为准）。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5、咨询人出具的成果文件要接受甲方委托的第三人的核对（按相同资料），如果编制的造价超过第三人编制的造价的±3%，必须说明偏差原因和纠偏。</w:t>
      </w:r>
    </w:p>
    <w:p>
      <w:pPr>
        <w:ind w:firstLine="500" w:firstLineChars="200"/>
        <w:rPr>
          <w:rStyle w:val="3"/>
          <w:rFonts w:ascii="宋体" w:cs="楷体"/>
          <w:b w:val="0"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6、成果文件提交分数：5份</w:t>
      </w:r>
    </w:p>
    <w:p>
      <w:pPr>
        <w:spacing w:line="500" w:lineRule="exact"/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</w:pP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ind w:firstLine="2660" w:firstLineChars="950"/>
        <w:rPr>
          <w:rFonts w:hint="eastAsia" w:ascii="宋体" w:cs="楷体"/>
          <w:bCs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C44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2018-02-05T10:23:50Z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