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heme="minorEastAsia" w:hAnsiTheme="minorEastAsia"/>
          <w:b/>
          <w:sz w:val="28"/>
          <w:szCs w:val="28"/>
        </w:rPr>
      </w:pPr>
      <w:r>
        <w:rPr>
          <w:rFonts w:hint="eastAsia" w:asciiTheme="minorEastAsia" w:hAnsiTheme="minorEastAsia"/>
          <w:b/>
          <w:sz w:val="28"/>
          <w:szCs w:val="28"/>
        </w:rPr>
        <w:t>附件：</w:t>
      </w:r>
    </w:p>
    <w:tbl>
      <w:tblPr>
        <w:tblStyle w:val="3"/>
        <w:tblW w:w="14516" w:type="dxa"/>
        <w:tblInd w:w="-34" w:type="dxa"/>
        <w:tblLayout w:type="fixed"/>
        <w:tblCellMar>
          <w:top w:w="0" w:type="dxa"/>
          <w:left w:w="108" w:type="dxa"/>
          <w:bottom w:w="0" w:type="dxa"/>
          <w:right w:w="108" w:type="dxa"/>
        </w:tblCellMar>
      </w:tblPr>
      <w:tblGrid>
        <w:gridCol w:w="1452"/>
        <w:gridCol w:w="3015"/>
        <w:gridCol w:w="778"/>
        <w:gridCol w:w="8647"/>
        <w:gridCol w:w="624"/>
      </w:tblGrid>
      <w:tr>
        <w:tblPrEx>
          <w:tblLayout w:type="fixed"/>
          <w:tblCellMar>
            <w:top w:w="0" w:type="dxa"/>
            <w:left w:w="108" w:type="dxa"/>
            <w:bottom w:w="0" w:type="dxa"/>
            <w:right w:w="108" w:type="dxa"/>
          </w:tblCellMar>
        </w:tblPrEx>
        <w:trPr>
          <w:trHeight w:val="830" w:hRule="atLeast"/>
        </w:trPr>
        <w:tc>
          <w:tcPr>
            <w:tcW w:w="14516" w:type="dxa"/>
            <w:gridSpan w:val="5"/>
            <w:tcBorders>
              <w:top w:val="nil"/>
              <w:left w:val="nil"/>
              <w:bottom w:val="nil"/>
              <w:right w:val="nil"/>
            </w:tcBorders>
            <w:shd w:val="clear" w:color="auto" w:fill="auto"/>
            <w:vAlign w:val="center"/>
          </w:tcPr>
          <w:p>
            <w:pPr>
              <w:widowControl/>
              <w:jc w:val="center"/>
              <w:rPr>
                <w:rFonts w:ascii="宋体" w:hAnsi="宋体" w:eastAsia="宋体" w:cs="宋体"/>
                <w:b/>
                <w:bCs/>
                <w:kern w:val="0"/>
                <w:sz w:val="30"/>
                <w:szCs w:val="30"/>
              </w:rPr>
            </w:pPr>
            <w:bookmarkStart w:id="0" w:name="_GoBack"/>
            <w:r>
              <w:rPr>
                <w:rFonts w:hint="eastAsia" w:ascii="宋体" w:hAnsi="宋体" w:eastAsia="宋体" w:cs="宋体"/>
                <w:b/>
                <w:bCs/>
                <w:kern w:val="0"/>
                <w:sz w:val="30"/>
                <w:szCs w:val="30"/>
              </w:rPr>
              <w:t>广西区内外北部湾城市群认知度调查评标表</w:t>
            </w:r>
            <w:bookmarkEnd w:id="0"/>
          </w:p>
        </w:tc>
      </w:tr>
      <w:tr>
        <w:tblPrEx>
          <w:tblLayout w:type="fixed"/>
          <w:tblCellMar>
            <w:top w:w="0" w:type="dxa"/>
            <w:left w:w="108" w:type="dxa"/>
            <w:bottom w:w="0" w:type="dxa"/>
            <w:right w:w="108" w:type="dxa"/>
          </w:tblCellMar>
        </w:tblPrEx>
        <w:trPr>
          <w:gridAfter w:val="1"/>
          <w:wAfter w:w="624" w:type="dxa"/>
          <w:trHeight w:val="372" w:hRule="atLeas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评分项目</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子项</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满分</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评分标准</w:t>
            </w:r>
          </w:p>
        </w:tc>
      </w:tr>
      <w:tr>
        <w:tblPrEx>
          <w:tblLayout w:type="fixed"/>
          <w:tblCellMar>
            <w:top w:w="0" w:type="dxa"/>
            <w:left w:w="108" w:type="dxa"/>
            <w:bottom w:w="0" w:type="dxa"/>
            <w:right w:w="108" w:type="dxa"/>
          </w:tblCellMar>
        </w:tblPrEx>
        <w:trPr>
          <w:gridAfter w:val="1"/>
          <w:wAfter w:w="624" w:type="dxa"/>
          <w:trHeight w:val="898" w:hRule="atLeast"/>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1.报价部分（满分20分）</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价格分计算公式：某投标人价格分 = 投标人最低投标报价金额÷某投标人投标报价金额×20分，（按四舍五入取至小数点后二位）                 　    </w:t>
            </w:r>
          </w:p>
        </w:tc>
      </w:tr>
      <w:tr>
        <w:tblPrEx>
          <w:tblLayout w:type="fixed"/>
          <w:tblCellMar>
            <w:top w:w="0" w:type="dxa"/>
            <w:left w:w="108" w:type="dxa"/>
            <w:bottom w:w="0" w:type="dxa"/>
            <w:right w:w="108" w:type="dxa"/>
          </w:tblCellMar>
        </w:tblPrEx>
        <w:trPr>
          <w:gridAfter w:val="1"/>
          <w:wAfter w:w="624" w:type="dxa"/>
          <w:trHeight w:val="535" w:hRule="atLeast"/>
        </w:trPr>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2.机构资质（满分8分）</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1)通过ISO9001质量管理体系认证</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通过ISO9001质量管理体系认证的，得2分。需提供通过认证机构年审合格的有效证书复印件。</w:t>
            </w:r>
          </w:p>
        </w:tc>
      </w:tr>
      <w:tr>
        <w:tblPrEx>
          <w:tblLayout w:type="fixed"/>
          <w:tblCellMar>
            <w:top w:w="0" w:type="dxa"/>
            <w:left w:w="108" w:type="dxa"/>
            <w:bottom w:w="0" w:type="dxa"/>
            <w:right w:w="108" w:type="dxa"/>
          </w:tblCellMar>
        </w:tblPrEx>
        <w:trPr>
          <w:gridAfter w:val="1"/>
          <w:wAfter w:w="624" w:type="dxa"/>
          <w:trHeight w:val="467" w:hRule="atLeast"/>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2)系统、资质分</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具有用于电话调查的计算机辅助电话访问系统（Cati）并具备增值电信业务经营许可证，得4分。需提供相关的硬件软件发票复印件和增值电信业务经营许可证复印件。</w:t>
            </w:r>
          </w:p>
        </w:tc>
      </w:tr>
      <w:tr>
        <w:tblPrEx>
          <w:tblLayout w:type="fixed"/>
          <w:tblCellMar>
            <w:top w:w="0" w:type="dxa"/>
            <w:left w:w="108" w:type="dxa"/>
            <w:bottom w:w="0" w:type="dxa"/>
            <w:right w:w="108" w:type="dxa"/>
          </w:tblCellMar>
        </w:tblPrEx>
        <w:trPr>
          <w:gridAfter w:val="1"/>
          <w:wAfter w:w="624" w:type="dxa"/>
          <w:trHeight w:val="467" w:hRule="atLeast"/>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3）信用等级分</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银行信用等级为AA的，得2分。需提供银行信用等级证明复印件。</w:t>
            </w:r>
          </w:p>
        </w:tc>
      </w:tr>
      <w:tr>
        <w:tblPrEx>
          <w:tblLayout w:type="fixed"/>
          <w:tblCellMar>
            <w:top w:w="0" w:type="dxa"/>
            <w:left w:w="108" w:type="dxa"/>
            <w:bottom w:w="0" w:type="dxa"/>
            <w:right w:w="108" w:type="dxa"/>
          </w:tblCellMar>
        </w:tblPrEx>
        <w:trPr>
          <w:gridAfter w:val="1"/>
          <w:wAfter w:w="624" w:type="dxa"/>
          <w:trHeight w:val="503" w:hRule="atLeast"/>
        </w:trPr>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3.信誉业绩（满分15分）</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1）从事政府委托项目情况</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投标人自2015年以来受政府部门委托开展过调查评估工作的，每有一项得1分，最高得10分。需提供中标通知书复印件或者委托书(合同)复印件。              　    </w:t>
            </w:r>
          </w:p>
        </w:tc>
      </w:tr>
      <w:tr>
        <w:tblPrEx>
          <w:tblLayout w:type="fixed"/>
          <w:tblCellMar>
            <w:top w:w="0" w:type="dxa"/>
            <w:left w:w="108" w:type="dxa"/>
            <w:bottom w:w="0" w:type="dxa"/>
            <w:right w:w="108" w:type="dxa"/>
          </w:tblCellMar>
        </w:tblPrEx>
        <w:trPr>
          <w:gridAfter w:val="1"/>
          <w:wAfter w:w="624" w:type="dxa"/>
          <w:trHeight w:val="503" w:hRule="atLeast"/>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2）服务单位满意好评分</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投标人自2015年以来在开展调查评估项目获得过服务的政府部门的满意好评的，每有一项得1分，最高得5分。需提供服务单位盖章的满意度调查表复印件、与服务单位签订的合同复印件。</w:t>
            </w:r>
          </w:p>
        </w:tc>
      </w:tr>
      <w:tr>
        <w:tblPrEx>
          <w:tblLayout w:type="fixed"/>
          <w:tblCellMar>
            <w:top w:w="0" w:type="dxa"/>
            <w:left w:w="108" w:type="dxa"/>
            <w:bottom w:w="0" w:type="dxa"/>
            <w:right w:w="108" w:type="dxa"/>
          </w:tblCellMar>
        </w:tblPrEx>
        <w:trPr>
          <w:gridAfter w:val="1"/>
          <w:wAfter w:w="624" w:type="dxa"/>
          <w:trHeight w:val="503" w:hRule="atLeast"/>
        </w:trPr>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4.服务方案（满分57分）        </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1）方案完整性</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服务方案完整，实施思路、技术路线和组织机构先进可行，按1-30分进行评分，最高得30分。</w:t>
            </w:r>
          </w:p>
        </w:tc>
      </w:tr>
      <w:tr>
        <w:tblPrEx>
          <w:tblLayout w:type="fixed"/>
          <w:tblCellMar>
            <w:top w:w="0" w:type="dxa"/>
            <w:left w:w="108" w:type="dxa"/>
            <w:bottom w:w="0" w:type="dxa"/>
            <w:right w:w="108" w:type="dxa"/>
          </w:tblCellMar>
        </w:tblPrEx>
        <w:trPr>
          <w:gridAfter w:val="1"/>
          <w:wAfter w:w="624" w:type="dxa"/>
          <w:trHeight w:val="467" w:hRule="atLeast"/>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 拟投入督导管理人员</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拟投入督导管理人员具备中级职称或以上的，每个得2分，最高得8分。需提供投标人最近半年以内连续三个月的为其依法缴纳社保费的证明材料复印件、身份证复印件、职称证复印件。</w:t>
            </w:r>
          </w:p>
        </w:tc>
      </w:tr>
      <w:tr>
        <w:tblPrEx>
          <w:tblLayout w:type="fixed"/>
          <w:tblCellMar>
            <w:top w:w="0" w:type="dxa"/>
            <w:left w:w="108" w:type="dxa"/>
            <w:bottom w:w="0" w:type="dxa"/>
            <w:right w:w="108" w:type="dxa"/>
          </w:tblCellMar>
        </w:tblPrEx>
        <w:trPr>
          <w:gridAfter w:val="1"/>
          <w:wAfter w:w="624" w:type="dxa"/>
          <w:trHeight w:val="467" w:hRule="atLeast"/>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 电话调查员储备</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有电话调查员储备，得4分。需提供电话调查员姓名、身份证号列表。</w:t>
            </w:r>
          </w:p>
        </w:tc>
      </w:tr>
      <w:tr>
        <w:tblPrEx>
          <w:tblLayout w:type="fixed"/>
          <w:tblCellMar>
            <w:top w:w="0" w:type="dxa"/>
            <w:left w:w="108" w:type="dxa"/>
            <w:bottom w:w="0" w:type="dxa"/>
            <w:right w:w="108" w:type="dxa"/>
          </w:tblCellMar>
        </w:tblPrEx>
        <w:trPr>
          <w:gridAfter w:val="1"/>
          <w:wAfter w:w="624" w:type="dxa"/>
          <w:trHeight w:val="262" w:hRule="atLeast"/>
        </w:trPr>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3）问卷设计分</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问卷设计完整，满足项目需求。按1-15分进行评分，最高得15分。</w:t>
            </w:r>
          </w:p>
        </w:tc>
      </w:tr>
      <w:tr>
        <w:tblPrEx>
          <w:tblLayout w:type="fixed"/>
          <w:tblCellMar>
            <w:top w:w="0" w:type="dxa"/>
            <w:left w:w="108" w:type="dxa"/>
            <w:bottom w:w="0" w:type="dxa"/>
            <w:right w:w="108" w:type="dxa"/>
          </w:tblCellMar>
        </w:tblPrEx>
        <w:trPr>
          <w:gridAfter w:val="1"/>
          <w:wAfter w:w="624" w:type="dxa"/>
          <w:trHeight w:val="246" w:hRule="atLeast"/>
        </w:trPr>
        <w:tc>
          <w:tcPr>
            <w:tcW w:w="4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总分合计</w:t>
            </w:r>
          </w:p>
        </w:tc>
        <w:tc>
          <w:tcPr>
            <w:tcW w:w="7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100</w:t>
            </w:r>
          </w:p>
        </w:tc>
        <w:tc>
          <w:tcPr>
            <w:tcW w:w="86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w:t>
            </w:r>
          </w:p>
        </w:tc>
      </w:tr>
    </w:tbl>
    <w:p>
      <w:pPr>
        <w:rPr>
          <w:rFonts w:ascii="仿宋_GB2312" w:eastAsia="仿宋_GB2312"/>
        </w:rPr>
      </w:pP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E0A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2017-12-29T08:03:36Z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