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r>
        <w:rPr>
          <w:rFonts w:ascii="宋体" w:hAnsi="宋体" w:cs="宋体" w:hint="eastAsia"/>
          <w:kern w:val="0"/>
          <w:sz w:val="28"/>
          <w:szCs w:val="28"/>
        </w:rPr>
        <w:t>附件</w:t>
      </w:r>
      <w:r>
        <w:rPr>
          <w:rFonts w:ascii="宋体" w:hAnsi="宋体" w:cs="宋体"/>
          <w:kern w:val="0"/>
          <w:sz w:val="28"/>
          <w:szCs w:val="28"/>
        </w:rPr>
        <w:t>1</w:t>
      </w:r>
      <w:r>
        <w:rPr>
          <w:rFonts w:ascii="宋体" w:hAnsi="宋体" w:cs="宋体" w:hint="eastAsia"/>
          <w:kern w:val="0"/>
          <w:sz w:val="28"/>
          <w:szCs w:val="28"/>
        </w:rPr>
        <w:t>：</w:t>
      </w:r>
    </w:p>
    <w:p w:rsidR="00837D42" w:rsidRDefault="00837D42" w:rsidP="00837D42">
      <w:pPr>
        <w:widowControl/>
        <w:jc w:val="left"/>
        <w:rPr>
          <w:rFonts w:ascii="宋体" w:cs="Times New Roman"/>
          <w:kern w:val="0"/>
          <w:sz w:val="28"/>
          <w:szCs w:val="28"/>
        </w:rPr>
      </w:pPr>
    </w:p>
    <w:p w:rsidR="00837D42" w:rsidRDefault="00837D42" w:rsidP="00837D42">
      <w:pPr>
        <w:widowControl/>
        <w:jc w:val="center"/>
        <w:rPr>
          <w:rFonts w:ascii="宋体" w:cs="Times New Roman"/>
          <w:kern w:val="0"/>
          <w:sz w:val="28"/>
          <w:szCs w:val="28"/>
        </w:rPr>
      </w:pPr>
      <w:r w:rsidRPr="00E14640">
        <w:rPr>
          <w:rFonts w:ascii="宋体" w:hAnsi="宋体" w:cs="宋体" w:hint="eastAsia"/>
          <w:kern w:val="0"/>
          <w:sz w:val="28"/>
          <w:szCs w:val="28"/>
        </w:rPr>
        <w:t>相思湖校区多功能图书馆（含公共人文教学楼）智能化工程项目</w:t>
      </w:r>
    </w:p>
    <w:p w:rsidR="00837D42" w:rsidRDefault="00837D42" w:rsidP="00837D42">
      <w:pPr>
        <w:widowControl/>
        <w:jc w:val="center"/>
        <w:rPr>
          <w:rFonts w:ascii="宋体" w:cs="Times New Roman"/>
          <w:kern w:val="0"/>
          <w:sz w:val="28"/>
          <w:szCs w:val="28"/>
        </w:rPr>
      </w:pPr>
      <w:r w:rsidRPr="0033097E">
        <w:rPr>
          <w:rFonts w:ascii="宋体" w:hAnsi="宋体" w:cs="宋体" w:hint="eastAsia"/>
          <w:kern w:val="0"/>
          <w:sz w:val="28"/>
          <w:szCs w:val="28"/>
        </w:rPr>
        <w:t>监理</w:t>
      </w:r>
      <w:r>
        <w:rPr>
          <w:rFonts w:ascii="宋体" w:hAnsi="宋体" w:cs="宋体" w:hint="eastAsia"/>
          <w:kern w:val="0"/>
          <w:sz w:val="28"/>
          <w:szCs w:val="28"/>
        </w:rPr>
        <w:t>服务</w:t>
      </w:r>
      <w:r w:rsidRPr="0033097E">
        <w:rPr>
          <w:rFonts w:ascii="宋体" w:hAnsi="宋体" w:cs="宋体" w:hint="eastAsia"/>
          <w:kern w:val="0"/>
          <w:sz w:val="28"/>
          <w:szCs w:val="28"/>
        </w:rPr>
        <w:t>内容</w:t>
      </w:r>
      <w:r>
        <w:rPr>
          <w:rFonts w:ascii="宋体" w:hAnsi="宋体" w:cs="宋体" w:hint="eastAsia"/>
          <w:kern w:val="0"/>
          <w:sz w:val="28"/>
          <w:szCs w:val="28"/>
        </w:rPr>
        <w:t>及要求</w:t>
      </w:r>
    </w:p>
    <w:p w:rsidR="00837D42" w:rsidRDefault="00837D42" w:rsidP="00837D42">
      <w:pPr>
        <w:widowControl/>
        <w:jc w:val="left"/>
        <w:rPr>
          <w:rFonts w:ascii="宋体" w:cs="Times New Roman"/>
          <w:kern w:val="0"/>
          <w:sz w:val="28"/>
          <w:szCs w:val="28"/>
        </w:rPr>
      </w:pP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t>监理单位应在合同约定的工程范围内及约定的监理服务期限内，对工程进行质量监理、施工安全监理、施工环境保护监理、进度监理、费用监理、合同其他事项和文件资料管理等；帮助采购人解决合同文件中出现的问题，包括设计图纸和施工规范。在采购人与承包人（或第三方）来往中，为采购人确定自己的合法权益提出建议意见。参与采购人与承包人关于变更单价、索赔、有关争议、工程变更和对工程进度及质量极为关键的其他问题进行的谈判。配合采购人的竣工验收和工程移交工作。协助和配合采购人完成本工程的各个专项验收的相关资料编制和准备工作，协助采购人做好工程审计工作，以及做好采购人安排的与监理有关的工作。</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t>熟悉合同文件、招标文件、投标文件，调查施工环境条件；</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t>在合同约定的期限内编制监理规划，根据监理规划在相应工程开工前编制监理细则；</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t>组织施工图纸会审；参加设计交底；主持召开监理交底会；主持召开工地例会或根据工程需要主持召开专题工地会议；</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t>经业主委托，负责协调本项目所涉及的各单位之间的工作关系，并协调解决项目建设过程中的各类纠纷。监理人应通过必要的会议制度来实施协调工作，主要包括：第一次现场会；监理交底会；监理例会；监理协调会；专题讨论会；专家论证会；阶段工作总结会；问题通报会；阶段及最终验收会。</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cs="宋体" w:hint="eastAsia"/>
          <w:sz w:val="24"/>
          <w:szCs w:val="24"/>
        </w:rPr>
        <w:t>审查承包人编制的施工深化设计、施工方案、施工进度计划、工程进度款、施工质量保证措施和施工安全文明保证措施。</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t>签发合同工程开</w:t>
      </w:r>
      <w:proofErr w:type="gramStart"/>
      <w:r w:rsidRPr="00BA712D">
        <w:rPr>
          <w:rFonts w:ascii="宋体" w:hAnsi="宋体" w:cs="宋体" w:hint="eastAsia"/>
          <w:sz w:val="24"/>
          <w:szCs w:val="24"/>
        </w:rPr>
        <w:t>工令</w:t>
      </w:r>
      <w:proofErr w:type="gramEnd"/>
      <w:r w:rsidRPr="00BA712D">
        <w:rPr>
          <w:rFonts w:ascii="宋体" w:hAnsi="宋体" w:cs="宋体" w:hint="eastAsia"/>
          <w:sz w:val="24"/>
          <w:szCs w:val="24"/>
        </w:rPr>
        <w:t>、停工令、复</w:t>
      </w:r>
      <w:proofErr w:type="gramStart"/>
      <w:r w:rsidRPr="00BA712D">
        <w:rPr>
          <w:rFonts w:ascii="宋体" w:hAnsi="宋体" w:cs="宋体" w:hint="eastAsia"/>
          <w:sz w:val="24"/>
          <w:szCs w:val="24"/>
        </w:rPr>
        <w:t>工令</w:t>
      </w:r>
      <w:proofErr w:type="gramEnd"/>
      <w:r w:rsidRPr="00BA712D">
        <w:rPr>
          <w:rFonts w:ascii="宋体" w:hAnsi="宋体" w:cs="宋体" w:hint="eastAsia"/>
          <w:sz w:val="24"/>
          <w:szCs w:val="24"/>
        </w:rPr>
        <w:t>。</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t>督促、检查承包人严格执行合同和严格按国家技术规范、标准、地方建筑安装规程以及设计图纸文件的要求进行施工，协调委托人和承包人之间的关系。</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lastRenderedPageBreak/>
        <w:t>审查承包人或委托人提出的材料、构配件和设备清单及所列的规格、数量及质量。</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t>对用于工程的主要材料、构件的出厂合格证、材质试验单等进行核定，如发现不实之处，有权责成承包人（并指定试验单位）对材质进行再试验，防止不合格的材料、构件等用于工程上。</w:t>
      </w:r>
    </w:p>
    <w:p w:rsidR="00837D42" w:rsidRPr="00BA712D" w:rsidRDefault="00837D42" w:rsidP="00837D42">
      <w:pPr>
        <w:pStyle w:val="a5"/>
        <w:numPr>
          <w:ilvl w:val="0"/>
          <w:numId w:val="1"/>
        </w:numPr>
        <w:spacing w:line="440" w:lineRule="exact"/>
        <w:ind w:firstLineChars="0"/>
        <w:rPr>
          <w:rFonts w:ascii="宋体" w:cs="Times New Roman"/>
          <w:sz w:val="24"/>
          <w:szCs w:val="24"/>
        </w:rPr>
      </w:pPr>
      <w:r w:rsidRPr="00BA712D">
        <w:rPr>
          <w:rFonts w:ascii="宋体" w:hAnsi="宋体" w:cs="宋体" w:hint="eastAsia"/>
          <w:sz w:val="24"/>
          <w:szCs w:val="24"/>
        </w:rPr>
        <w:t>对于政府采购材料（</w:t>
      </w:r>
      <w:proofErr w:type="gramStart"/>
      <w:r w:rsidRPr="00BA712D">
        <w:rPr>
          <w:rFonts w:ascii="宋体" w:hAnsi="宋体" w:cs="宋体" w:hint="eastAsia"/>
          <w:sz w:val="24"/>
          <w:szCs w:val="24"/>
        </w:rPr>
        <w:t>甲供材料</w:t>
      </w:r>
      <w:proofErr w:type="gramEnd"/>
      <w:r w:rsidRPr="00BA712D">
        <w:rPr>
          <w:rFonts w:ascii="宋体" w:hAnsi="宋体" w:cs="宋体" w:hint="eastAsia"/>
          <w:sz w:val="24"/>
          <w:szCs w:val="24"/>
        </w:rPr>
        <w:t>），监理单位工作为：</w:t>
      </w:r>
    </w:p>
    <w:p w:rsidR="00837D42" w:rsidRPr="00BA712D" w:rsidRDefault="00837D42" w:rsidP="00837D42">
      <w:pPr>
        <w:pStyle w:val="a5"/>
        <w:numPr>
          <w:ilvl w:val="1"/>
          <w:numId w:val="1"/>
        </w:numPr>
        <w:spacing w:line="360" w:lineRule="auto"/>
        <w:ind w:firstLineChars="0"/>
        <w:rPr>
          <w:rFonts w:ascii="宋体" w:cs="Times New Roman"/>
          <w:sz w:val="24"/>
          <w:szCs w:val="24"/>
        </w:rPr>
      </w:pPr>
      <w:r w:rsidRPr="00BA712D">
        <w:rPr>
          <w:rFonts w:ascii="宋体" w:hAnsi="宋体" w:cs="宋体" w:hint="eastAsia"/>
          <w:sz w:val="24"/>
          <w:szCs w:val="24"/>
        </w:rPr>
        <w:t>组织承包人、材料供应商按有关验收标准或对</w:t>
      </w:r>
      <w:proofErr w:type="gramStart"/>
      <w:r w:rsidRPr="00BA712D">
        <w:rPr>
          <w:rFonts w:ascii="宋体" w:hAnsi="宋体" w:cs="宋体" w:hint="eastAsia"/>
          <w:sz w:val="24"/>
          <w:szCs w:val="24"/>
        </w:rPr>
        <w:t>各种甲供材料</w:t>
      </w:r>
      <w:proofErr w:type="gramEnd"/>
      <w:r w:rsidRPr="00BA712D">
        <w:rPr>
          <w:rFonts w:ascii="宋体" w:hAnsi="宋体" w:cs="宋体" w:hint="eastAsia"/>
          <w:sz w:val="24"/>
          <w:szCs w:val="24"/>
        </w:rPr>
        <w:t>进行现场签收。</w:t>
      </w:r>
    </w:p>
    <w:p w:rsidR="00837D42" w:rsidRPr="00BA712D" w:rsidRDefault="00837D42" w:rsidP="00837D42">
      <w:pPr>
        <w:pStyle w:val="a5"/>
        <w:numPr>
          <w:ilvl w:val="1"/>
          <w:numId w:val="1"/>
        </w:numPr>
        <w:spacing w:line="360" w:lineRule="auto"/>
        <w:ind w:firstLineChars="0"/>
        <w:rPr>
          <w:rFonts w:ascii="宋体" w:cs="Times New Roman"/>
          <w:sz w:val="24"/>
          <w:szCs w:val="24"/>
        </w:rPr>
      </w:pPr>
      <w:r w:rsidRPr="00BA712D">
        <w:rPr>
          <w:rFonts w:ascii="宋体" w:hAnsi="宋体" w:cs="宋体" w:hint="eastAsia"/>
          <w:sz w:val="24"/>
          <w:szCs w:val="24"/>
        </w:rPr>
        <w:t>督促施工单位及时做出材料计划，并进行审核，每</w:t>
      </w:r>
      <w:proofErr w:type="gramStart"/>
      <w:r w:rsidRPr="00BA712D">
        <w:rPr>
          <w:rFonts w:ascii="宋体" w:hAnsi="宋体" w:cs="宋体" w:hint="eastAsia"/>
          <w:sz w:val="24"/>
          <w:szCs w:val="24"/>
        </w:rPr>
        <w:t>周负责</w:t>
      </w:r>
      <w:proofErr w:type="gramEnd"/>
      <w:r w:rsidRPr="00BA712D">
        <w:rPr>
          <w:rFonts w:ascii="宋体" w:hAnsi="宋体" w:cs="宋体" w:hint="eastAsia"/>
          <w:sz w:val="24"/>
          <w:szCs w:val="24"/>
        </w:rPr>
        <w:t>向委托人</w:t>
      </w:r>
      <w:proofErr w:type="gramStart"/>
      <w:r w:rsidRPr="00BA712D">
        <w:rPr>
          <w:rFonts w:ascii="宋体" w:hAnsi="宋体" w:cs="宋体" w:hint="eastAsia"/>
          <w:sz w:val="24"/>
          <w:szCs w:val="24"/>
        </w:rPr>
        <w:t>汇报甲供材料</w:t>
      </w:r>
      <w:proofErr w:type="gramEnd"/>
      <w:r w:rsidRPr="00BA712D">
        <w:rPr>
          <w:rFonts w:ascii="宋体" w:hAnsi="宋体" w:cs="宋体" w:hint="eastAsia"/>
          <w:sz w:val="24"/>
          <w:szCs w:val="24"/>
        </w:rPr>
        <w:t>的供需情况（计划采购量、实际已采购量、预增（减）购量、材料质量等）。</w:t>
      </w:r>
    </w:p>
    <w:p w:rsidR="00837D42" w:rsidRPr="00BA712D" w:rsidRDefault="00837D42" w:rsidP="00837D42">
      <w:pPr>
        <w:widowControl/>
        <w:numPr>
          <w:ilvl w:val="1"/>
          <w:numId w:val="1"/>
        </w:numPr>
        <w:spacing w:line="360" w:lineRule="auto"/>
        <w:jc w:val="left"/>
        <w:rPr>
          <w:rFonts w:ascii="宋体" w:cs="Times New Roman"/>
          <w:sz w:val="24"/>
          <w:szCs w:val="24"/>
        </w:rPr>
      </w:pPr>
      <w:r w:rsidRPr="00BA712D">
        <w:rPr>
          <w:rFonts w:ascii="宋体" w:hAnsi="宋体" w:cs="宋体" w:hint="eastAsia"/>
          <w:sz w:val="24"/>
          <w:szCs w:val="24"/>
        </w:rPr>
        <w:t>根据材料计划与承包人、材料供应商协商确定合理的材料进场时间、车次等，并书面汇报委托人。</w:t>
      </w:r>
    </w:p>
    <w:p w:rsidR="00837D42" w:rsidRPr="00BA712D" w:rsidRDefault="00837D42" w:rsidP="00837D42">
      <w:pPr>
        <w:widowControl/>
        <w:numPr>
          <w:ilvl w:val="1"/>
          <w:numId w:val="1"/>
        </w:numPr>
        <w:spacing w:line="360" w:lineRule="auto"/>
        <w:jc w:val="left"/>
        <w:rPr>
          <w:rFonts w:ascii="宋体" w:cs="Times New Roman"/>
          <w:sz w:val="24"/>
          <w:szCs w:val="24"/>
        </w:rPr>
      </w:pPr>
      <w:r w:rsidRPr="00BA712D">
        <w:rPr>
          <w:rFonts w:ascii="宋体" w:hAnsi="宋体" w:cs="宋体" w:hint="eastAsia"/>
          <w:sz w:val="24"/>
          <w:szCs w:val="24"/>
        </w:rPr>
        <w:t>负责监督承包人进行标段内</w:t>
      </w:r>
      <w:proofErr w:type="gramStart"/>
      <w:r w:rsidRPr="00BA712D">
        <w:rPr>
          <w:rFonts w:ascii="宋体" w:hAnsi="宋体" w:cs="宋体" w:hint="eastAsia"/>
          <w:sz w:val="24"/>
          <w:szCs w:val="24"/>
        </w:rPr>
        <w:t>的甲供材料</w:t>
      </w:r>
      <w:proofErr w:type="gramEnd"/>
      <w:r w:rsidRPr="00BA712D">
        <w:rPr>
          <w:rFonts w:ascii="宋体" w:hAnsi="宋体" w:cs="宋体" w:hint="eastAsia"/>
          <w:sz w:val="24"/>
          <w:szCs w:val="24"/>
        </w:rPr>
        <w:t>的调拨。</w:t>
      </w:r>
    </w:p>
    <w:p w:rsidR="00837D42" w:rsidRPr="00BA712D" w:rsidRDefault="00837D42" w:rsidP="00837D42">
      <w:pPr>
        <w:widowControl/>
        <w:numPr>
          <w:ilvl w:val="1"/>
          <w:numId w:val="1"/>
        </w:numPr>
        <w:spacing w:line="360" w:lineRule="auto"/>
        <w:jc w:val="left"/>
        <w:rPr>
          <w:rFonts w:ascii="宋体" w:cs="Times New Roman"/>
          <w:sz w:val="24"/>
          <w:szCs w:val="24"/>
        </w:rPr>
      </w:pPr>
      <w:r w:rsidRPr="00BA712D">
        <w:rPr>
          <w:rFonts w:ascii="宋体" w:hAnsi="宋体" w:cs="宋体" w:hint="eastAsia"/>
          <w:sz w:val="24"/>
          <w:szCs w:val="24"/>
        </w:rPr>
        <w:t>在需进行材料核查时组织承包人或材料供应商</w:t>
      </w:r>
      <w:proofErr w:type="gramStart"/>
      <w:r w:rsidRPr="00BA712D">
        <w:rPr>
          <w:rFonts w:ascii="宋体" w:hAnsi="宋体" w:cs="宋体" w:hint="eastAsia"/>
          <w:sz w:val="24"/>
          <w:szCs w:val="24"/>
        </w:rPr>
        <w:t>进行甲供材料</w:t>
      </w:r>
      <w:proofErr w:type="gramEnd"/>
      <w:r w:rsidRPr="00BA712D">
        <w:rPr>
          <w:rFonts w:ascii="宋体" w:hAnsi="宋体" w:cs="宋体" w:hint="eastAsia"/>
          <w:sz w:val="24"/>
          <w:szCs w:val="24"/>
        </w:rPr>
        <w:t>的现场清点（施工结束后）。</w:t>
      </w:r>
    </w:p>
    <w:p w:rsidR="00837D42" w:rsidRPr="00BA712D" w:rsidRDefault="00837D42" w:rsidP="00837D42">
      <w:pPr>
        <w:widowControl/>
        <w:numPr>
          <w:ilvl w:val="1"/>
          <w:numId w:val="1"/>
        </w:numPr>
        <w:spacing w:line="360" w:lineRule="auto"/>
        <w:jc w:val="left"/>
        <w:rPr>
          <w:rFonts w:ascii="宋体" w:cs="Times New Roman"/>
          <w:sz w:val="24"/>
          <w:szCs w:val="24"/>
        </w:rPr>
      </w:pPr>
      <w:r w:rsidRPr="00BA712D">
        <w:rPr>
          <w:rFonts w:ascii="宋体" w:hAnsi="宋体" w:cs="宋体" w:hint="eastAsia"/>
          <w:sz w:val="24"/>
          <w:szCs w:val="24"/>
        </w:rPr>
        <w:t>组织承包人</w:t>
      </w:r>
      <w:proofErr w:type="gramStart"/>
      <w:r w:rsidRPr="00BA712D">
        <w:rPr>
          <w:rFonts w:ascii="宋体" w:hAnsi="宋体" w:cs="宋体" w:hint="eastAsia"/>
          <w:sz w:val="24"/>
          <w:szCs w:val="24"/>
        </w:rPr>
        <w:t>对甲供材料</w:t>
      </w:r>
      <w:proofErr w:type="gramEnd"/>
      <w:r w:rsidRPr="00BA712D">
        <w:rPr>
          <w:rFonts w:ascii="宋体" w:hAnsi="宋体" w:cs="宋体" w:hint="eastAsia"/>
          <w:sz w:val="24"/>
          <w:szCs w:val="24"/>
        </w:rPr>
        <w:t>进行清点交接。</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检查工程使用的主要设备及关键材料是否符合设计文件和标书所规定的厂家、型号、规格及质量标准。在订货前，根据需要以对生产厂家进行了解考察，所发生的差旅费用由订货单位负担。</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控制工程进度、质量和投资，督促、检查承包人落实文明施工及安全保证措施。</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组织各分项工程和隐蔽工程的检查、验收，签署工程付款凭证。</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对关键工序进行签认；按有关规定和要求对工程进行巡视、旁站和抽检，并做好记录；对发生的质量缺陷、质量隐患和质量事故进行调查、处理或对不属于监理人权限处理的质量事故督促承包人按规定报告有关部门；按有关规定及时对已完分部工程、单位工程及合同工程进行质量评定；</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负责施工现场签证。</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组织编写监理月报和监理工作报告，并提交业主；</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lastRenderedPageBreak/>
        <w:t>审核工程支付申请，签发支付证书；审核工程变更，签发工程变更令；签</w:t>
      </w:r>
      <w:proofErr w:type="gramStart"/>
      <w:r w:rsidRPr="00BA712D">
        <w:rPr>
          <w:rFonts w:ascii="宋体" w:hAnsi="宋体" w:cs="宋体" w:hint="eastAsia"/>
          <w:sz w:val="24"/>
          <w:szCs w:val="24"/>
        </w:rPr>
        <w:t>认最后</w:t>
      </w:r>
      <w:proofErr w:type="gramEnd"/>
      <w:r w:rsidRPr="00BA712D">
        <w:rPr>
          <w:rFonts w:ascii="宋体" w:hAnsi="宋体" w:cs="宋体" w:hint="eastAsia"/>
          <w:sz w:val="24"/>
          <w:szCs w:val="24"/>
        </w:rPr>
        <w:t>支付证书；</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组织编制工程监理竣工文件，并督促承包人按合同约定编制和整理竣工资料；协助业主审查完工验收申请；参加业主组织的合同工程完工验收；参加工程竣工验收，参与工程完工验收合格后设备（软件）的移交工作；</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协助委托人组织工程交工初步验收。</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提出交工或竣工验收申请报告</w:t>
      </w:r>
      <w:r>
        <w:rPr>
          <w:rFonts w:ascii="宋体" w:hAnsi="宋体" w:cs="宋体" w:hint="eastAsia"/>
          <w:sz w:val="24"/>
          <w:szCs w:val="24"/>
        </w:rPr>
        <w:t>，</w:t>
      </w:r>
      <w:r w:rsidRPr="00BA712D">
        <w:rPr>
          <w:rFonts w:ascii="宋体" w:hAnsi="宋体" w:cs="宋体" w:hint="eastAsia"/>
          <w:sz w:val="24"/>
          <w:szCs w:val="24"/>
        </w:rPr>
        <w:t>参加工程验收。</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负责检查保修阶段的工程状况，督促承包人回访，监督保修直至达到规定的质量标准。</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监理单位应在施工监理期间，指派监理员常驻施工现场，以便及时现场解决施工中出现的问题。每周三、周日将工程监理进展情况以电子邮件形式向采购人代表汇报，特殊情况下可先口头汇报，然后以电子邮件确认。</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监理工作结束后，</w:t>
      </w:r>
      <w:r>
        <w:rPr>
          <w:rFonts w:ascii="宋体" w:hAnsi="宋体" w:cs="宋体" w:hint="eastAsia"/>
          <w:sz w:val="24"/>
          <w:szCs w:val="24"/>
        </w:rPr>
        <w:t>监理单位</w:t>
      </w:r>
      <w:r w:rsidRPr="00BA712D">
        <w:rPr>
          <w:rFonts w:ascii="宋体" w:hAnsi="宋体" w:cs="宋体" w:hint="eastAsia"/>
          <w:sz w:val="24"/>
          <w:szCs w:val="24"/>
        </w:rPr>
        <w:t>向采购人提交完整的监理资料</w:t>
      </w:r>
      <w:r w:rsidRPr="00BA712D">
        <w:rPr>
          <w:rFonts w:ascii="宋体" w:hAnsi="宋体" w:cs="宋体"/>
          <w:sz w:val="24"/>
          <w:szCs w:val="24"/>
        </w:rPr>
        <w:t>4</w:t>
      </w:r>
      <w:r w:rsidRPr="00BA712D">
        <w:rPr>
          <w:rFonts w:ascii="宋体" w:hAnsi="宋体" w:cs="宋体" w:hint="eastAsia"/>
          <w:sz w:val="24"/>
          <w:szCs w:val="24"/>
        </w:rPr>
        <w:t>份（原件</w:t>
      </w:r>
      <w:r w:rsidRPr="00BA712D">
        <w:rPr>
          <w:rFonts w:ascii="宋体" w:hAnsi="宋体" w:cs="宋体"/>
          <w:sz w:val="24"/>
          <w:szCs w:val="24"/>
        </w:rPr>
        <w:t>1</w:t>
      </w:r>
      <w:r w:rsidRPr="00BA712D">
        <w:rPr>
          <w:rFonts w:ascii="宋体" w:hAnsi="宋体" w:cs="宋体" w:hint="eastAsia"/>
          <w:sz w:val="24"/>
          <w:szCs w:val="24"/>
        </w:rPr>
        <w:t>份，复印件</w:t>
      </w:r>
      <w:r w:rsidRPr="00BA712D">
        <w:rPr>
          <w:rFonts w:ascii="宋体" w:hAnsi="宋体" w:cs="宋体"/>
          <w:sz w:val="24"/>
          <w:szCs w:val="24"/>
        </w:rPr>
        <w:t>4</w:t>
      </w:r>
      <w:r w:rsidRPr="00BA712D">
        <w:rPr>
          <w:rFonts w:ascii="宋体" w:hAnsi="宋体" w:cs="宋体" w:hint="eastAsia"/>
          <w:sz w:val="24"/>
          <w:szCs w:val="24"/>
        </w:rPr>
        <w:t>份），以便采购人存档备案。</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kern w:val="0"/>
          <w:sz w:val="24"/>
          <w:szCs w:val="24"/>
        </w:rPr>
        <w:t>常驻监理工程师</w:t>
      </w:r>
      <w:r w:rsidRPr="00BA712D">
        <w:rPr>
          <w:rFonts w:ascii="宋体" w:hAnsi="宋体" w:cs="宋体" w:hint="eastAsia"/>
          <w:sz w:val="24"/>
          <w:szCs w:val="24"/>
        </w:rPr>
        <w:t>不得在其他项目中挂名。</w:t>
      </w:r>
    </w:p>
    <w:p w:rsidR="00837D42" w:rsidRPr="00BA712D" w:rsidRDefault="00837D42" w:rsidP="00837D42">
      <w:pPr>
        <w:widowControl/>
        <w:numPr>
          <w:ilvl w:val="0"/>
          <w:numId w:val="1"/>
        </w:numPr>
        <w:spacing w:line="360" w:lineRule="auto"/>
        <w:jc w:val="left"/>
        <w:rPr>
          <w:rFonts w:ascii="宋体" w:cs="Times New Roman"/>
          <w:sz w:val="24"/>
          <w:szCs w:val="24"/>
        </w:rPr>
      </w:pPr>
      <w:r w:rsidRPr="00BA712D">
        <w:rPr>
          <w:rFonts w:ascii="宋体" w:hAnsi="宋体" w:cs="宋体" w:hint="eastAsia"/>
          <w:sz w:val="24"/>
          <w:szCs w:val="24"/>
        </w:rPr>
        <w:t>采购人不向监理机构提供任何设施、设备、场所。生活、办公用房及必需的办公、生活设施、交通工具、通讯工具以及各种测量仪器、试验仪器等均由监理单位自备，且满足本合同规定的要求，费用在监理费用中考虑。</w:t>
      </w:r>
    </w:p>
    <w:p w:rsidR="00837D42" w:rsidRPr="00BA712D" w:rsidRDefault="00837D42" w:rsidP="00837D42">
      <w:pPr>
        <w:widowControl/>
        <w:numPr>
          <w:ilvl w:val="0"/>
          <w:numId w:val="1"/>
        </w:numPr>
        <w:spacing w:line="360" w:lineRule="auto"/>
        <w:jc w:val="left"/>
        <w:rPr>
          <w:rFonts w:ascii="宋体" w:cs="Times New Roman"/>
          <w:sz w:val="24"/>
          <w:szCs w:val="24"/>
        </w:rPr>
      </w:pPr>
      <w:r>
        <w:rPr>
          <w:rFonts w:ascii="宋体" w:hAnsi="宋体" w:cs="宋体" w:hint="eastAsia"/>
          <w:sz w:val="24"/>
          <w:szCs w:val="24"/>
        </w:rPr>
        <w:t>监理单位</w:t>
      </w:r>
      <w:r w:rsidRPr="00BA712D">
        <w:rPr>
          <w:rFonts w:ascii="宋体" w:hAnsi="宋体" w:cs="宋体" w:hint="eastAsia"/>
          <w:sz w:val="24"/>
          <w:szCs w:val="24"/>
        </w:rPr>
        <w:t>驻地监理机构及其职员不得接受监理工程项目施工承包人任何报酬或者经济利益。</w:t>
      </w:r>
      <w:r>
        <w:rPr>
          <w:rFonts w:ascii="宋体" w:hAnsi="宋体" w:cs="宋体" w:hint="eastAsia"/>
          <w:sz w:val="24"/>
          <w:szCs w:val="24"/>
        </w:rPr>
        <w:t>监理单位</w:t>
      </w:r>
      <w:r w:rsidRPr="00BA712D">
        <w:rPr>
          <w:rFonts w:ascii="宋体" w:hAnsi="宋体" w:cs="宋体" w:hint="eastAsia"/>
          <w:sz w:val="24"/>
          <w:szCs w:val="24"/>
        </w:rPr>
        <w:t>不得参与可能与合同规定的与采购人的利益相冲突的任何活动。</w:t>
      </w:r>
    </w:p>
    <w:p w:rsidR="00837D42" w:rsidRPr="00BA712D" w:rsidRDefault="00837D42" w:rsidP="00837D42">
      <w:pPr>
        <w:widowControl/>
        <w:numPr>
          <w:ilvl w:val="0"/>
          <w:numId w:val="1"/>
        </w:numPr>
        <w:spacing w:line="360" w:lineRule="auto"/>
        <w:jc w:val="left"/>
        <w:rPr>
          <w:rFonts w:ascii="宋体" w:cs="Times New Roman"/>
          <w:sz w:val="24"/>
          <w:szCs w:val="24"/>
        </w:rPr>
      </w:pPr>
      <w:r>
        <w:rPr>
          <w:rFonts w:ascii="宋体" w:hAnsi="宋体" w:cs="宋体" w:hint="eastAsia"/>
          <w:sz w:val="24"/>
          <w:szCs w:val="24"/>
        </w:rPr>
        <w:t>监理单位</w:t>
      </w:r>
      <w:r w:rsidRPr="00BA712D">
        <w:rPr>
          <w:rFonts w:ascii="宋体" w:hAnsi="宋体" w:cs="宋体" w:hint="eastAsia"/>
          <w:sz w:val="24"/>
          <w:szCs w:val="24"/>
        </w:rPr>
        <w:t>在监理过程中，不得泄露采购人申明的秘密，</w:t>
      </w:r>
      <w:r>
        <w:rPr>
          <w:rFonts w:ascii="宋体" w:hAnsi="宋体" w:cs="宋体" w:hint="eastAsia"/>
          <w:sz w:val="24"/>
          <w:szCs w:val="24"/>
        </w:rPr>
        <w:t>监理单位</w:t>
      </w:r>
      <w:r w:rsidRPr="00BA712D">
        <w:rPr>
          <w:rFonts w:ascii="宋体" w:hAnsi="宋体" w:cs="宋体" w:hint="eastAsia"/>
          <w:sz w:val="24"/>
          <w:szCs w:val="24"/>
        </w:rPr>
        <w:t>亦不得泄露设计方、承包人提供并申明的秘密。</w:t>
      </w: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837D42" w:rsidRDefault="00837D42" w:rsidP="00837D42">
      <w:pPr>
        <w:widowControl/>
        <w:jc w:val="left"/>
        <w:rPr>
          <w:rFonts w:ascii="宋体" w:cs="Times New Roman"/>
          <w:kern w:val="0"/>
          <w:sz w:val="28"/>
          <w:szCs w:val="28"/>
        </w:rPr>
      </w:pPr>
    </w:p>
    <w:p w:rsidR="00BA2B5E" w:rsidRPr="00837D42" w:rsidRDefault="00BA2B5E">
      <w:bookmarkStart w:id="0" w:name="_GoBack"/>
      <w:bookmarkEnd w:id="0"/>
    </w:p>
    <w:sectPr w:rsidR="00BA2B5E" w:rsidRPr="00837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6DB" w:rsidRDefault="00B246DB" w:rsidP="00837D42">
      <w:r>
        <w:separator/>
      </w:r>
    </w:p>
  </w:endnote>
  <w:endnote w:type="continuationSeparator" w:id="0">
    <w:p w:rsidR="00B246DB" w:rsidRDefault="00B246DB" w:rsidP="0083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6DB" w:rsidRDefault="00B246DB" w:rsidP="00837D42">
      <w:r>
        <w:separator/>
      </w:r>
    </w:p>
  </w:footnote>
  <w:footnote w:type="continuationSeparator" w:id="0">
    <w:p w:rsidR="00B246DB" w:rsidRDefault="00B246DB" w:rsidP="00837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368"/>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FA"/>
    <w:rsid w:val="005A39FA"/>
    <w:rsid w:val="00837D42"/>
    <w:rsid w:val="00B246DB"/>
    <w:rsid w:val="00BA2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D4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7D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7D42"/>
    <w:rPr>
      <w:sz w:val="18"/>
      <w:szCs w:val="18"/>
    </w:rPr>
  </w:style>
  <w:style w:type="paragraph" w:styleId="a4">
    <w:name w:val="footer"/>
    <w:basedOn w:val="a"/>
    <w:link w:val="Char0"/>
    <w:uiPriority w:val="99"/>
    <w:unhideWhenUsed/>
    <w:rsid w:val="00837D42"/>
    <w:pPr>
      <w:tabs>
        <w:tab w:val="center" w:pos="4153"/>
        <w:tab w:val="right" w:pos="8306"/>
      </w:tabs>
      <w:snapToGrid w:val="0"/>
      <w:jc w:val="left"/>
    </w:pPr>
    <w:rPr>
      <w:sz w:val="18"/>
      <w:szCs w:val="18"/>
    </w:rPr>
  </w:style>
  <w:style w:type="character" w:customStyle="1" w:styleId="Char0">
    <w:name w:val="页脚 Char"/>
    <w:basedOn w:val="a0"/>
    <w:link w:val="a4"/>
    <w:uiPriority w:val="99"/>
    <w:rsid w:val="00837D42"/>
    <w:rPr>
      <w:sz w:val="18"/>
      <w:szCs w:val="18"/>
    </w:rPr>
  </w:style>
  <w:style w:type="paragraph" w:styleId="a5">
    <w:name w:val="List Paragraph"/>
    <w:basedOn w:val="a"/>
    <w:uiPriority w:val="99"/>
    <w:qFormat/>
    <w:rsid w:val="00837D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D4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7D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7D42"/>
    <w:rPr>
      <w:sz w:val="18"/>
      <w:szCs w:val="18"/>
    </w:rPr>
  </w:style>
  <w:style w:type="paragraph" w:styleId="a4">
    <w:name w:val="footer"/>
    <w:basedOn w:val="a"/>
    <w:link w:val="Char0"/>
    <w:uiPriority w:val="99"/>
    <w:unhideWhenUsed/>
    <w:rsid w:val="00837D42"/>
    <w:pPr>
      <w:tabs>
        <w:tab w:val="center" w:pos="4153"/>
        <w:tab w:val="right" w:pos="8306"/>
      </w:tabs>
      <w:snapToGrid w:val="0"/>
      <w:jc w:val="left"/>
    </w:pPr>
    <w:rPr>
      <w:sz w:val="18"/>
      <w:szCs w:val="18"/>
    </w:rPr>
  </w:style>
  <w:style w:type="character" w:customStyle="1" w:styleId="Char0">
    <w:name w:val="页脚 Char"/>
    <w:basedOn w:val="a0"/>
    <w:link w:val="a4"/>
    <w:uiPriority w:val="99"/>
    <w:rsid w:val="00837D42"/>
    <w:rPr>
      <w:sz w:val="18"/>
      <w:szCs w:val="18"/>
    </w:rPr>
  </w:style>
  <w:style w:type="paragraph" w:styleId="a5">
    <w:name w:val="List Paragraph"/>
    <w:basedOn w:val="a"/>
    <w:uiPriority w:val="99"/>
    <w:qFormat/>
    <w:rsid w:val="00837D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301</Words>
  <Characters>1716</Characters>
  <Application>Microsoft Office Word</Application>
  <DocSecurity>0</DocSecurity>
  <Lines>14</Lines>
  <Paragraphs>4</Paragraphs>
  <ScaleCrop>false</ScaleCrop>
  <Company>china</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2016-11-21T09:19:00Z</dcterms:created>
  <dcterms:modified xsi:type="dcterms:W3CDTF">2016-11-21T09:20:00Z</dcterms:modified>
</cp:coreProperties>
</file>